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6546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нс 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</w:r>
    </w:p>
    <w:p>
      <w:pPr>
        <w:pStyle w:val="661"/>
        <w:ind w:left="357" w:hanging="357"/>
        <w:jc w:val="center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 xml:space="preserve">консультационных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right" w:pos="5703" w:leader="none"/>
          <w:tab w:val="left" w:pos="6217" w:leader="underscore"/>
          <w:tab w:val="left" w:pos="8670" w:leader="underscor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jc w:val="left"/>
        <w:spacing w:line="240" w:lineRule="auto"/>
        <w:shd w:val="clear" w:color="auto" w:fill="auto"/>
        <w:tabs>
          <w:tab w:val="right" w:pos="5703" w:leader="none"/>
          <w:tab w:val="left" w:pos="6217" w:leader="underscore"/>
          <w:tab w:val="left" w:pos="867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Москва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right" w:pos="2247" w:leader="none"/>
          <w:tab w:val="right" w:pos="4273" w:leader="none"/>
          <w:tab w:val="center" w:pos="6154" w:leader="none"/>
          <w:tab w:val="right" w:pos="965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right" w:pos="2247" w:leader="none"/>
          <w:tab w:val="right" w:pos="4273" w:leader="none"/>
          <w:tab w:val="center" w:pos="6154" w:leader="none"/>
          <w:tab w:val="right" w:pos="9658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</w:t>
      </w:r>
      <w:r>
        <w:rPr>
          <w:sz w:val="24"/>
          <w:szCs w:val="24"/>
        </w:rPr>
        <w:t xml:space="preserve">, именуемое в дальнейшем «Исполнитель», в лице и.о. директора </w:t>
      </w:r>
      <w:r>
        <w:rPr>
          <w:sz w:val="24"/>
          <w:szCs w:val="24"/>
        </w:rPr>
        <w:t xml:space="preserve">Сухановой Татьяны Владимировны</w:t>
      </w:r>
      <w:r>
        <w:rPr>
          <w:sz w:val="24"/>
          <w:szCs w:val="24"/>
        </w:rPr>
        <w:t xml:space="preserve">, действующе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на основании Приказа Министерства просвещения Российской Федерации №12-03-02/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5 от </w:t>
      </w:r>
      <w:r>
        <w:rPr>
          <w:sz w:val="24"/>
          <w:szCs w:val="24"/>
        </w:rPr>
        <w:t xml:space="preserve">29.03.2021</w:t>
      </w:r>
      <w:r>
        <w:rPr>
          <w:sz w:val="24"/>
          <w:szCs w:val="24"/>
        </w:rPr>
        <w:t xml:space="preserve"> г., __________________________________________________________________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</w:r>
    </w:p>
    <w:p>
      <w:pPr>
        <w:pStyle w:val="661"/>
        <w:ind w:firstLine="0"/>
        <w:spacing w:line="240" w:lineRule="auto"/>
        <w:shd w:val="clear" w:color="auto" w:fill="auto"/>
        <w:tabs>
          <w:tab w:val="right" w:pos="2247" w:leader="none"/>
          <w:tab w:val="right" w:pos="4273" w:leader="none"/>
          <w:tab w:val="center" w:pos="6154" w:leader="none"/>
          <w:tab w:val="right" w:pos="965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(далее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Заказчик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_______________________________________________________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</w:p>
    <w:p>
      <w:pPr>
        <w:pStyle w:val="661"/>
        <w:ind w:firstLine="0"/>
        <w:spacing w:line="240" w:lineRule="auto"/>
        <w:shd w:val="clear" w:color="auto" w:fill="auto"/>
        <w:tabs>
          <w:tab w:val="right" w:pos="2247" w:leader="none"/>
          <w:tab w:val="right" w:pos="4273" w:leader="none"/>
          <w:tab w:val="center" w:pos="6154" w:leader="none"/>
          <w:tab w:val="right" w:pos="965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___________________</w:t>
      </w:r>
      <w:r>
        <w:rPr>
          <w:sz w:val="24"/>
          <w:szCs w:val="24"/>
        </w:rPr>
        <w:t xml:space="preserve">___________________________________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</w:r>
    </w:p>
    <w:p>
      <w:pPr>
        <w:pStyle w:val="661"/>
        <w:ind w:firstLine="0"/>
        <w:spacing w:line="240" w:lineRule="auto"/>
        <w:shd w:val="clear" w:color="auto" w:fill="auto"/>
        <w:tabs>
          <w:tab w:val="right" w:pos="2247" w:leader="none"/>
          <w:tab w:val="right" w:pos="4273" w:leader="none"/>
          <w:tab w:val="center" w:pos="6154" w:leader="none"/>
          <w:tab w:val="right" w:pos="965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____________________________________</w:t>
      </w:r>
      <w:r>
        <w:rPr>
          <w:b/>
          <w:sz w:val="24"/>
          <w:szCs w:val="24"/>
        </w:rPr>
        <w:t xml:space="preserve">________________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</w:t>
      </w:r>
      <w:r>
        <w:rPr>
          <w:sz w:val="24"/>
          <w:szCs w:val="24"/>
        </w:rPr>
        <w:t xml:space="preserve">ый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 xml:space="preserve">Стажер</w:t>
      </w:r>
      <w:r>
        <w:rPr>
          <w:sz w:val="24"/>
          <w:szCs w:val="24"/>
        </w:rPr>
        <w:t xml:space="preserve">», с </w:t>
      </w:r>
      <w:r>
        <w:rPr>
          <w:sz w:val="24"/>
          <w:szCs w:val="24"/>
        </w:rPr>
        <w:t xml:space="preserve">третьей</w:t>
      </w:r>
      <w:r>
        <w:rPr>
          <w:sz w:val="24"/>
          <w:szCs w:val="24"/>
        </w:rPr>
        <w:t xml:space="preserve"> стороны, совместно именуемые Стороны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заключили настоящий Договор </w:t>
      </w:r>
      <w:r>
        <w:rPr>
          <w:sz w:val="24"/>
          <w:szCs w:val="24"/>
        </w:rPr>
        <w:t xml:space="preserve">(далее – Договор) </w:t>
      </w:r>
      <w:r>
        <w:rPr>
          <w:sz w:val="24"/>
          <w:szCs w:val="24"/>
        </w:rPr>
        <w:t xml:space="preserve">о нижеследующем:</w:t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ПРЕДМЕТ И СРОК </w:t>
      </w:r>
      <w:r>
        <w:rPr>
          <w:sz w:val="24"/>
          <w:szCs w:val="24"/>
        </w:rPr>
        <w:t xml:space="preserve">ДОГОВОРА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Испол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научной стажировки по вопросам подготовки докторской диссертации Стажера </w:t>
      </w:r>
      <w:r>
        <w:rPr>
          <w:sz w:val="24"/>
          <w:szCs w:val="24"/>
        </w:rPr>
        <w:t xml:space="preserve">обязуется оказать Стажеру консультационные </w:t>
      </w:r>
      <w:r>
        <w:rPr>
          <w:sz w:val="24"/>
          <w:szCs w:val="24"/>
        </w:rPr>
        <w:t xml:space="preserve">услуги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касающиеся вопросов </w:t>
      </w:r>
      <w:r>
        <w:rPr>
          <w:sz w:val="24"/>
          <w:szCs w:val="24"/>
        </w:rPr>
        <w:t xml:space="preserve">проведени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исследовательской работы, публикации результатов научно-исследовательской, экспериментальной работы Стажера </w:t>
      </w:r>
      <w:r>
        <w:rPr>
          <w:sz w:val="24"/>
          <w:szCs w:val="24"/>
        </w:rPr>
        <w:t xml:space="preserve">(далее – Услуги)</w:t>
      </w:r>
      <w:r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Заказчик</w:t>
      </w:r>
      <w:r>
        <w:rPr>
          <w:sz w:val="24"/>
          <w:szCs w:val="24"/>
        </w:rPr>
        <w:t xml:space="preserve"> обязуется оплатить Услуги </w:t>
      </w:r>
      <w:r>
        <w:rPr>
          <w:sz w:val="24"/>
          <w:szCs w:val="24"/>
        </w:rPr>
        <w:t xml:space="preserve">Исполнителя</w:t>
      </w:r>
      <w:r>
        <w:rPr>
          <w:sz w:val="24"/>
          <w:szCs w:val="24"/>
        </w:rPr>
        <w:t xml:space="preserve"> в порядке и на условиях, предусмотренных Договором.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1.2. Срок </w:t>
      </w:r>
      <w:r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 xml:space="preserve">договора – </w:t>
      </w:r>
      <w:r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  <w:t xml:space="preserve"> дней с момента полной оплаты Заказчиком цены Договора.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Общее </w:t>
      </w:r>
      <w:r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консультаций – 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  <w:t xml:space="preserve"> (из них 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 очных)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Продолжительность одной консультации – </w:t>
      </w:r>
      <w:r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 xml:space="preserve"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График консультаций согласовывается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Стажером с научным консультантом.</w:t>
      </w:r>
      <w:r>
        <w:rPr>
          <w:color w:val="ff0000"/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1.4. Оказание консультационных услуг оформляется соответствующим актом об оказании услуг, который подписывается </w:t>
      </w:r>
      <w:r>
        <w:rPr>
          <w:sz w:val="24"/>
          <w:szCs w:val="24"/>
        </w:rPr>
        <w:t xml:space="preserve">Заказчиком, Стажером и Исполнителем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left="360" w:hanging="360"/>
        <w:jc w:val="center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ПРАВА И </w:t>
      </w:r>
      <w:r>
        <w:rPr>
          <w:sz w:val="24"/>
          <w:szCs w:val="24"/>
        </w:rPr>
        <w:t xml:space="preserve">ОБЯЗАННОСТИ СТОРОН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Исполнитель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.1.1.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Обеспечить научно-</w:t>
      </w:r>
      <w:r>
        <w:rPr>
          <w:sz w:val="24"/>
          <w:szCs w:val="24"/>
        </w:rPr>
        <w:t xml:space="preserve">методическое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информационное</w:t>
      </w:r>
      <w:r>
        <w:rPr>
          <w:sz w:val="24"/>
          <w:szCs w:val="24"/>
        </w:rPr>
        <w:t xml:space="preserve"> консультирование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касающееся подготовки докторской диссертации Стажера в соответствии с темой его диссертации.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Предоставить Стажеру научного консультанта, который является научным </w:t>
      </w:r>
      <w:r>
        <w:rPr>
          <w:sz w:val="24"/>
          <w:szCs w:val="24"/>
        </w:rPr>
        <w:t xml:space="preserve">(научно-педагогическим) </w:t>
      </w:r>
      <w:r>
        <w:rPr>
          <w:sz w:val="24"/>
          <w:szCs w:val="24"/>
        </w:rPr>
        <w:t xml:space="preserve">работником Исполнителя и соответствует следующим </w:t>
      </w:r>
      <w:r>
        <w:rPr>
          <w:sz w:val="24"/>
          <w:szCs w:val="24"/>
        </w:rPr>
        <w:t xml:space="preserve">минимальным </w:t>
      </w:r>
      <w:r>
        <w:rPr>
          <w:sz w:val="24"/>
          <w:szCs w:val="24"/>
        </w:rPr>
        <w:t xml:space="preserve">требованиям: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наличие степени доктора или кандидата наук,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не менее 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публикаций по профилю </w:t>
      </w:r>
      <w:r>
        <w:rPr>
          <w:sz w:val="24"/>
          <w:szCs w:val="24"/>
        </w:rPr>
        <w:t xml:space="preserve">научных исследований </w:t>
      </w:r>
      <w:r>
        <w:rPr>
          <w:sz w:val="24"/>
          <w:szCs w:val="24"/>
        </w:rPr>
        <w:t xml:space="preserve">Стажера в </w:t>
      </w:r>
      <w:r>
        <w:rPr>
          <w:sz w:val="24"/>
          <w:szCs w:val="24"/>
        </w:rPr>
        <w:t xml:space="preserve">рецензируемых журналах, рекомендованных ВАК при </w:t>
      </w:r>
      <w:r>
        <w:rPr>
          <w:sz w:val="24"/>
          <w:szCs w:val="24"/>
        </w:rPr>
        <w:t xml:space="preserve">Минобрнауки</w:t>
      </w:r>
      <w:r>
        <w:rPr>
          <w:sz w:val="24"/>
          <w:szCs w:val="24"/>
        </w:rPr>
        <w:t xml:space="preserve"> России, </w:t>
      </w:r>
      <w:r>
        <w:rPr>
          <w:sz w:val="24"/>
          <w:szCs w:val="24"/>
        </w:rPr>
        <w:t xml:space="preserve">рейтинговых международных научных журналах </w:t>
      </w:r>
      <w:r>
        <w:rPr>
          <w:sz w:val="24"/>
          <w:szCs w:val="24"/>
        </w:rPr>
        <w:t xml:space="preserve">за последние 5 лет,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наличие выступлений на Всероссийских и (или) Международных конференциях.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Стажеру</w:t>
      </w:r>
      <w:r>
        <w:rPr>
          <w:sz w:val="24"/>
          <w:szCs w:val="24"/>
        </w:rPr>
        <w:t xml:space="preserve"> право пользова</w:t>
      </w:r>
      <w:r>
        <w:rPr>
          <w:sz w:val="24"/>
          <w:szCs w:val="24"/>
        </w:rPr>
        <w:t xml:space="preserve">ться компьютерным оборудованием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другим имуществом в порядке, установленном </w:t>
      </w:r>
      <w:r>
        <w:rPr>
          <w:sz w:val="24"/>
          <w:szCs w:val="24"/>
        </w:rPr>
        <w:t xml:space="preserve">Исполнителем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Исполнитель вправе: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sz w:val="24"/>
          <w:szCs w:val="24"/>
        </w:rPr>
        <w:t xml:space="preserve">Требовать от Стажера соблюдения </w:t>
      </w:r>
      <w:r>
        <w:rPr>
          <w:sz w:val="24"/>
          <w:szCs w:val="24"/>
        </w:rPr>
        <w:t xml:space="preserve">внутренних</w:t>
      </w:r>
      <w:r>
        <w:rPr>
          <w:sz w:val="24"/>
          <w:szCs w:val="24"/>
        </w:rPr>
        <w:t xml:space="preserve"> локальных актов Исполнителя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2.2.2. В целях всестороннего и объективного консультирования запрашивать у Стажера все необходимые материалы и информацию, касающуюся подготовки диссертации Стажера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Заказчик обязуется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платить Услуги</w:t>
      </w:r>
      <w:r>
        <w:rPr>
          <w:sz w:val="24"/>
          <w:szCs w:val="24"/>
        </w:rPr>
        <w:t xml:space="preserve"> Исполнителя в порядке и на условиях, предусмотренных Договором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2.3.2. Предоставлять всю необходимую для оказания консультационных услуг информацию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2.3.3. Принять оказанные услуги путем подписания акта об оказании услуг.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Стажер обязуется: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Предоставлять научному консультанту все необходимые рабочие материалы, касающиеся докторской диссертации Стажера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.2.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облюд</w:t>
      </w:r>
      <w:r>
        <w:rPr>
          <w:sz w:val="24"/>
          <w:szCs w:val="24"/>
        </w:rPr>
        <w:t xml:space="preserve">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внутренние</w:t>
      </w:r>
      <w:r>
        <w:rPr>
          <w:sz w:val="24"/>
          <w:szCs w:val="24"/>
        </w:rPr>
        <w:t xml:space="preserve"> локальны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  <w:t xml:space="preserve">Своевременно уведомлять Институт о любых изменениях в своих личных документах, другой контактной информации.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.4. Принять оказанные услуги путем подписания акта об оказании услуг.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Стажер вправе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Получать консультационные услуги</w:t>
      </w:r>
      <w:r>
        <w:rPr>
          <w:sz w:val="24"/>
          <w:szCs w:val="24"/>
        </w:rPr>
        <w:t xml:space="preserve"> у научного консультанта по вопросам </w:t>
      </w:r>
      <w:r>
        <w:rPr>
          <w:sz w:val="24"/>
          <w:szCs w:val="24"/>
        </w:rPr>
        <w:t xml:space="preserve">подготовк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докторской диссертации Стажера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проведени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исследовательской работы, публикации результатов научно-исследовательской, экспериментальной работы Стажера.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настоящего Договора.</w:t>
      </w:r>
      <w:r>
        <w:rPr>
          <w:sz w:val="24"/>
          <w:szCs w:val="24"/>
        </w:rPr>
      </w:r>
    </w:p>
    <w:p>
      <w:pPr>
        <w:pStyle w:val="661"/>
        <w:ind w:left="360" w:hanging="360"/>
        <w:jc w:val="center"/>
        <w:spacing w:line="240" w:lineRule="auto"/>
        <w:shd w:val="clear" w:color="auto" w:fill="auto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СТОИМОСТЬ УСЛУГ И </w:t>
      </w:r>
      <w:r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ОПЛАТЫ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661"/>
        <w:ind w:left="360" w:hanging="360"/>
        <w:jc w:val="center"/>
        <w:spacing w:line="240" w:lineRule="auto"/>
        <w:shd w:val="clear" w:color="auto" w:fill="auto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Стоимость Услуг составляет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(___________________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том числе НДС 20%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________________________)</w:t>
      </w:r>
      <w:r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674"/>
        <w:contextualSpacing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путем перечисления Заказчиком денежных средств на расчетный счет Исполнителя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полном объеме не позднее _______________.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Датой оплаты считается день поступления денежных средств на расчетный счет </w:t>
      </w:r>
      <w:r>
        <w:rPr>
          <w:sz w:val="24"/>
          <w:szCs w:val="24"/>
        </w:rPr>
        <w:t xml:space="preserve">Исполнителя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z w:val="24"/>
          <w:szCs w:val="24"/>
        </w:rPr>
        <w:t xml:space="preserve">Исполнитель приступает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 выполнению условий Договора не ранее момента поступления оплаты за консультационные услуги.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3.5</w:t>
      </w:r>
      <w:r>
        <w:rPr>
          <w:sz w:val="24"/>
          <w:szCs w:val="24"/>
        </w:rPr>
        <w:t xml:space="preserve">. Результат оказан</w:t>
      </w:r>
      <w:r>
        <w:rPr>
          <w:sz w:val="24"/>
          <w:szCs w:val="24"/>
        </w:rPr>
        <w:t xml:space="preserve">ия</w:t>
      </w:r>
      <w:r>
        <w:rPr>
          <w:sz w:val="24"/>
          <w:szCs w:val="24"/>
        </w:rPr>
        <w:t xml:space="preserve"> услуг оформляется путем составления акта об оказании услуг.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3.6. В случае расторжения Договора по инициативе Заказчика денежные средства, оплаченные за оказание консультационных услуг, возврату не подлежат.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left="360" w:hanging="360"/>
        <w:jc w:val="center"/>
        <w:spacing w:line="240" w:lineRule="auto"/>
        <w:shd w:val="clear" w:color="auto" w:fill="auto"/>
        <w:tabs>
          <w:tab w:val="left" w:pos="56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ОТВЕТСТВЕННОСТЬ СТОРОН</w:t>
      </w:r>
      <w:r>
        <w:rPr>
          <w:sz w:val="26"/>
          <w:szCs w:val="26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За неисполнение или ненадлежащее исполнение </w:t>
      </w:r>
      <w:r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Договора стороны несут ответственность в соответствии с действующим законодательством Российской Федерации.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В случае несвоевременного поступления оплаты от Заказчика за оказание консультационных услуг, Исполнитель вправе не приступать к исполнению Договора до момента поступления денежных средств.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left="360" w:firstLine="426"/>
        <w:jc w:val="center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ЗМЕНЕНИ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И РАСТОРЖЕНИ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ДОГОВОРА</w:t>
      </w:r>
      <w:r>
        <w:rPr>
          <w:sz w:val="24"/>
          <w:szCs w:val="24"/>
        </w:rPr>
      </w:r>
    </w:p>
    <w:p>
      <w:pPr>
        <w:pStyle w:val="661"/>
        <w:ind w:left="360" w:firstLine="426"/>
        <w:jc w:val="center"/>
        <w:spacing w:line="240" w:lineRule="auto"/>
        <w:shd w:val="clear" w:color="auto" w:fill="auto"/>
        <w:tabs>
          <w:tab w:val="left" w:pos="102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Договор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с момента подписания Сторонами и </w:t>
      </w:r>
      <w:r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 xml:space="preserve">полного </w:t>
      </w:r>
      <w:r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 xml:space="preserve">Сторонами своих обязательств по Договору.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</w:t>
      </w:r>
      <w:r>
        <w:rPr>
          <w:sz w:val="24"/>
          <w:szCs w:val="24"/>
        </w:rPr>
        <w:t xml:space="preserve"> вправе в одностороннем порядке </w:t>
      </w:r>
      <w:r>
        <w:rPr>
          <w:sz w:val="24"/>
          <w:szCs w:val="24"/>
        </w:rPr>
        <w:t xml:space="preserve">отказаться от исполнения</w:t>
      </w:r>
      <w:r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</w:t>
      </w:r>
      <w:r>
        <w:rPr>
          <w:sz w:val="24"/>
          <w:szCs w:val="24"/>
        </w:rPr>
        <w:t xml:space="preserve">аях: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нарушения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</w:t>
      </w:r>
      <w:r>
        <w:rPr>
          <w:sz w:val="24"/>
          <w:szCs w:val="24"/>
        </w:rPr>
        <w:t xml:space="preserve">условия о сроке оплаты </w:t>
      </w:r>
      <w:r>
        <w:rPr>
          <w:sz w:val="24"/>
          <w:szCs w:val="24"/>
        </w:rPr>
        <w:t xml:space="preserve">цены Договора, предусмотренн</w:t>
      </w:r>
      <w:r>
        <w:rPr>
          <w:sz w:val="24"/>
          <w:szCs w:val="24"/>
        </w:rPr>
        <w:t xml:space="preserve">ого</w:t>
      </w:r>
      <w:r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.2 Д</w:t>
      </w:r>
      <w:r>
        <w:rPr>
          <w:sz w:val="24"/>
          <w:szCs w:val="24"/>
        </w:rPr>
        <w:t xml:space="preserve">оговора, более чем на </w:t>
      </w:r>
      <w:r>
        <w:rPr>
          <w:sz w:val="24"/>
          <w:szCs w:val="24"/>
        </w:rPr>
        <w:t xml:space="preserve">14</w:t>
      </w:r>
      <w:r>
        <w:rPr>
          <w:sz w:val="24"/>
          <w:szCs w:val="24"/>
        </w:rPr>
        <w:t xml:space="preserve"> календарных дней.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причинения существенного вреда деловой репутации </w:t>
      </w:r>
      <w:r>
        <w:rPr>
          <w:sz w:val="24"/>
          <w:szCs w:val="24"/>
        </w:rPr>
        <w:t xml:space="preserve">Исполнителя</w:t>
      </w:r>
      <w:r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материального ущерба </w:t>
      </w:r>
      <w:r>
        <w:rPr>
          <w:sz w:val="24"/>
          <w:szCs w:val="24"/>
        </w:rPr>
        <w:t xml:space="preserve">Исполнителю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этом датой расторжения Договора будет считаться дата получения Заказчиком уведомления об отказе от исполнения Договора.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может быть расторгнут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</w:t>
      </w:r>
      <w:r>
        <w:rPr>
          <w:sz w:val="24"/>
          <w:szCs w:val="24"/>
        </w:rPr>
        <w:t xml:space="preserve"> подписания Сторонами соглашения</w:t>
      </w:r>
      <w:r>
        <w:rPr>
          <w:sz w:val="24"/>
          <w:szCs w:val="24"/>
        </w:rPr>
        <w:t xml:space="preserve"> о расторжении Договора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.4. </w:t>
      </w:r>
      <w:r>
        <w:rPr>
          <w:sz w:val="24"/>
          <w:szCs w:val="24"/>
        </w:rPr>
        <w:t xml:space="preserve">Все изменения и дополнения к Договору</w:t>
      </w:r>
      <w:r>
        <w:rPr>
          <w:sz w:val="24"/>
          <w:szCs w:val="24"/>
        </w:rPr>
        <w:t xml:space="preserve"> действительны, если совершены</w:t>
      </w:r>
      <w:r>
        <w:rPr>
          <w:sz w:val="24"/>
          <w:szCs w:val="24"/>
        </w:rPr>
        <w:t xml:space="preserve"> письменно и подпис</w:t>
      </w:r>
      <w:r>
        <w:rPr>
          <w:sz w:val="24"/>
          <w:szCs w:val="24"/>
        </w:rPr>
        <w:t xml:space="preserve">аны</w:t>
      </w:r>
      <w:r>
        <w:rPr>
          <w:sz w:val="24"/>
          <w:szCs w:val="24"/>
        </w:rPr>
        <w:t xml:space="preserve"> обеими Сторонами.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 ФОРС–МАЖОР</w:t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.1. В случае возникновения каких-либо обстоятельств, препятствующих полному или частичному выполнению любой из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торон ее обязательств по Договору, а именно, природных, техногенных или социальных обстоятельств, находящихся вне контроля </w:t>
      </w:r>
      <w:r>
        <w:rPr>
          <w:rFonts w:ascii="Times New Roman" w:hAnsi="Times New Roman" w:cs="Times New Roman"/>
        </w:rPr>
        <w:t xml:space="preserve">Сторон Договора</w:t>
      </w:r>
      <w:r>
        <w:rPr>
          <w:rFonts w:ascii="Times New Roman" w:hAnsi="Times New Roman" w:cs="Times New Roman"/>
        </w:rPr>
        <w:t xml:space="preserve"> и приводящ</w:t>
      </w:r>
      <w:r>
        <w:rPr>
          <w:rFonts w:ascii="Times New Roman" w:hAnsi="Times New Roman" w:cs="Times New Roman"/>
        </w:rPr>
        <w:t xml:space="preserve">их</w:t>
      </w:r>
      <w:r>
        <w:rPr>
          <w:rFonts w:ascii="Times New Roman" w:hAnsi="Times New Roman" w:cs="Times New Roman"/>
        </w:rPr>
        <w:t xml:space="preserve"> к нарушению условий Договора, время, оговоренное на выполнение обязательств, отодвигается на период времени, равный тому, в течение которого такие обстоятельства остаются в силе. Если указанные обстоятельства будут продолжаться более 6 месяцев, каждая из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торон имеет право </w:t>
      </w:r>
      <w:r>
        <w:rPr>
          <w:rFonts w:ascii="Times New Roman" w:hAnsi="Times New Roman" w:cs="Times New Roman"/>
        </w:rPr>
        <w:t xml:space="preserve">отказаться от исполнения</w:t>
      </w:r>
      <w:r>
        <w:rPr>
          <w:rFonts w:ascii="Times New Roman" w:hAnsi="Times New Roman" w:cs="Times New Roman"/>
        </w:rPr>
        <w:t xml:space="preserve"> Договора, и в этом случае ни одна из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торон не имеет права требовать компенсации от другой стороны.</w:t>
      </w:r>
      <w:r>
        <w:rPr>
          <w:rFonts w:ascii="Times New Roman" w:hAnsi="Times New Roman" w:cs="Times New Roman"/>
        </w:rPr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.2. Сторона, для которой становится невозможным выполнение обязательств по Договору, должна немедленно уведомить другую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торону о наступлении этих обстоятельств. В случае отсутствия Уведомления другая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торона освобождается от исполнения своих обязательств по Договору.</w:t>
      </w:r>
      <w:r>
        <w:rPr>
          <w:rFonts w:ascii="Times New Roman" w:hAnsi="Times New Roman" w:cs="Times New Roman"/>
        </w:rPr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 ЗАКЛЮЧИТЕЛЬНЫЕ ПОЛОЖЕНИЯ</w:t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7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споры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разрешаются Сторонами путем переговоров, а при </w:t>
      </w:r>
      <w:r>
        <w:rPr>
          <w:rFonts w:ascii="Times New Roman" w:hAnsi="Times New Roman" w:cs="Times New Roman"/>
          <w:sz w:val="24"/>
          <w:szCs w:val="24"/>
        </w:rPr>
        <w:t xml:space="preserve">недостижении</w:t>
      </w:r>
      <w:r>
        <w:rPr>
          <w:rFonts w:ascii="Times New Roman" w:hAnsi="Times New Roman" w:cs="Times New Roman"/>
          <w:sz w:val="24"/>
          <w:szCs w:val="24"/>
        </w:rPr>
        <w:t xml:space="preserve"> согласия – в судебном порядке в соответствии с действующим законодательством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всем остальном, не предусмотренном Договором, Стороны руководствуются действующим законодательством РФ.</w:t>
      </w:r>
      <w:r>
        <w:rPr>
          <w:sz w:val="24"/>
          <w:szCs w:val="24"/>
        </w:rPr>
      </w:r>
    </w:p>
    <w:p>
      <w:pPr>
        <w:pStyle w:val="661"/>
        <w:ind w:firstLine="426"/>
        <w:spacing w:line="240" w:lineRule="auto"/>
        <w:shd w:val="clear" w:color="auto" w:fill="auto"/>
        <w:tabs>
          <w:tab w:val="left" w:pos="11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трех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торон.</w:t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 А</w:t>
      </w:r>
      <w:r>
        <w:rPr>
          <w:sz w:val="24"/>
          <w:szCs w:val="24"/>
        </w:rPr>
        <w:t xml:space="preserve">ДРЕСА И РЕКВИЗИТЫ СТОРОН</w:t>
      </w:r>
      <w:r>
        <w:rPr>
          <w:sz w:val="24"/>
          <w:szCs w:val="24"/>
        </w:rPr>
      </w:r>
    </w:p>
    <w:p>
      <w:pPr>
        <w:pStyle w:val="661"/>
        <w:ind w:firstLine="0"/>
        <w:jc w:val="center"/>
        <w:spacing w:line="240" w:lineRule="auto"/>
        <w:shd w:val="clear" w:color="auto" w:fill="auto"/>
        <w:tabs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662"/>
        <w:tblW w:w="10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8"/>
        <w:gridCol w:w="5137"/>
      </w:tblGrid>
      <w:tr>
        <w:trPr>
          <w:trHeight w:val="7015"/>
        </w:trPr>
        <w:tc>
          <w:tcPr>
            <w:tcW w:w="4928" w:type="dxa"/>
            <w:textDirection w:val="lrTb"/>
            <w:noWrap w:val="false"/>
          </w:tcPr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rStyle w:val="660"/>
                <w:b/>
                <w:sz w:val="24"/>
                <w:szCs w:val="24"/>
              </w:rPr>
              <w:t xml:space="preserve">Заказчик:</w:t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7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</w:r>
            <w:r>
              <w:rPr>
                <w:rStyle w:val="673"/>
                <w:sz w:val="24"/>
                <w:szCs w:val="24"/>
                <w:shd w:val="clear" w:color="auto" w:fill="ffffff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7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</w:r>
            <w:r>
              <w:rPr>
                <w:rStyle w:val="673"/>
                <w:sz w:val="24"/>
                <w:szCs w:val="24"/>
                <w:shd w:val="clear" w:color="auto" w:fill="ffffff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4"/>
                <w:szCs w:val="24"/>
              </w:rPr>
            </w:pPr>
            <w:r>
              <w:rPr>
                <w:rStyle w:val="660"/>
                <w:sz w:val="24"/>
                <w:szCs w:val="24"/>
              </w:rPr>
              <w:t xml:space="preserve">_______________/</w:t>
            </w:r>
            <w:r>
              <w:rPr>
                <w:rStyle w:val="660"/>
                <w:sz w:val="24"/>
                <w:szCs w:val="24"/>
              </w:rPr>
              <w:t xml:space="preserve">_______________</w:t>
            </w:r>
            <w:r>
              <w:rPr>
                <w:rStyle w:val="660"/>
                <w:sz w:val="24"/>
                <w:szCs w:val="24"/>
              </w:rPr>
              <w:t xml:space="preserve">/</w:t>
            </w:r>
            <w:r>
              <w:rPr>
                <w:rStyle w:val="660"/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b/>
                <w:sz w:val="24"/>
                <w:szCs w:val="24"/>
              </w:rPr>
            </w:pPr>
            <w:r>
              <w:rPr>
                <w:rStyle w:val="660"/>
                <w:b/>
                <w:sz w:val="24"/>
                <w:szCs w:val="24"/>
              </w:rPr>
              <w:t xml:space="preserve">Стажер:</w:t>
            </w:r>
            <w:r>
              <w:rPr>
                <w:rStyle w:val="660"/>
                <w:b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Ф.И. О.: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Дата рождения: 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Паспорт: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серия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, номер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_________,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код подразделения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___________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выдан: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________________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дата выдачи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______________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</w:rPr>
            </w:r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Адрес регистрации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(с индексом)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___________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Адрес места жительства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(с индексом)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_______________________________________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Телефон: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___________________</w:t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  <w:p>
            <w:pPr>
              <w:jc w:val="both"/>
              <w:widowControl/>
              <w:rPr>
                <w:rFonts w:ascii="Verdana" w:hAnsi="Verdana" w:eastAsia="Times New Roman" w:cs="Times New Roman"/>
                <w:color w:val="auto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auto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:</w:t>
            </w:r>
            <w:r>
              <w:rPr>
                <w:rFonts w:ascii="Verdana" w:hAnsi="Verdana" w:eastAsia="Times New Roman" w:cs="Times New Roman"/>
                <w:color w:val="auto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 w:eastAsia="Times New Roman" w:cs="Times New Roman"/>
                <w:color w:val="auto"/>
                <w:sz w:val="17"/>
                <w:szCs w:val="17"/>
                <w:shd w:val="clear" w:color="auto" w:fill="ffffff"/>
              </w:rPr>
              <w:t xml:space="preserve">________________________</w:t>
            </w:r>
            <w:r>
              <w:rPr>
                <w:rFonts w:ascii="Verdana" w:hAnsi="Verdana" w:eastAsia="Times New Roman" w:cs="Times New Roman"/>
                <w:color w:val="auto"/>
                <w:sz w:val="17"/>
                <w:szCs w:val="17"/>
                <w:shd w:val="clear" w:color="auto" w:fill="ffffff"/>
              </w:rPr>
            </w:r>
          </w:p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________________</w:t>
            </w:r>
            <w:r>
              <w:rPr>
                <w:rFonts w:ascii="Times New Roman" w:hAnsi="Times New Roman" w:cs="Times New Roman"/>
                <w:szCs w:val="28"/>
              </w:rPr>
              <w:t xml:space="preserve"> _________________/</w:t>
            </w:r>
            <w:r>
              <w:rPr>
                <w:rFonts w:ascii="Times New Roman" w:hAnsi="Times New Roman" w:cs="Times New Roman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18"/>
                <w:szCs w:val="18"/>
              </w:rPr>
              <w:t xml:space="preserve">          (подпись)                            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«___»_______________20___ г.</w:t>
            </w:r>
            <w:r>
              <w:rPr>
                <w:rFonts w:ascii="Times New Roman" w:hAnsi="Times New Roman" w:cs="Times New Roman"/>
                <w:szCs w:val="28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660"/>
                <w:b/>
                <w:sz w:val="24"/>
                <w:szCs w:val="24"/>
              </w:rPr>
            </w:r>
          </w:p>
        </w:tc>
        <w:tc>
          <w:tcPr>
            <w:tcW w:w="5137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</w:t>
            </w:r>
            <w:r>
              <w:rPr>
                <w:rFonts w:ascii="Times New Roman" w:hAnsi="Times New Roman" w:cs="Times New Roman"/>
              </w:rPr>
              <w:t xml:space="preserve">едеральное государственное бюджетное научное учреждение «Институт стратегии развития образования Российской академии образования»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105062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Жуковского,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 7717026894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770101001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6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УФК по г. Москве (ФГБНУ "ИСРО РАО", л/с 20736Ч07660)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ГУ Банка России по ЦФО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Расчетный счет: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40501810845252000079 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044525000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6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КБК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00000000000000000130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73.20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02077018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1027700111372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45375000000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61"/>
              <w:ind w:right="-32" w:firstLine="0"/>
              <w:jc w:val="left"/>
              <w:spacing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</w:t>
            </w:r>
            <w:r>
              <w:rPr>
                <w:sz w:val="24"/>
                <w:szCs w:val="24"/>
              </w:rPr>
              <w:t xml:space="preserve">_______________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Т.В. Суханова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</w:r>
          </w:p>
          <w:p>
            <w:pPr>
              <w:pStyle w:val="661"/>
              <w:ind w:firstLine="0"/>
              <w:spacing w:line="240" w:lineRule="auto"/>
              <w:shd w:val="clear" w:color="auto" w:fill="auto"/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t xml:space="preserve">МП</w:t>
            </w:r>
            <w:r/>
          </w:p>
          <w:p>
            <w:pPr>
              <w:pStyle w:val="661"/>
              <w:ind w:firstLine="0"/>
              <w:spacing w:line="240" w:lineRule="auto"/>
              <w:shd w:val="clear" w:color="auto" w:fill="auto"/>
              <w:rPr>
                <w:rStyle w:val="66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Style w:val="660"/>
                <w:sz w:val="22"/>
                <w:szCs w:val="22"/>
              </w:rPr>
            </w:r>
          </w:p>
        </w:tc>
      </w:tr>
    </w:tbl>
    <w:p>
      <w:pPr>
        <w:pStyle w:val="661"/>
        <w:ind w:firstLine="0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9" w:h="16838" w:orient="portrait"/>
      <w:pgMar w:top="851" w:right="989" w:bottom="709" w:left="1276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5"/>
    <w:next w:val="65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6"/>
    <w:link w:val="34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6"/>
    <w:link w:val="677"/>
    <w:uiPriority w:val="99"/>
  </w:style>
  <w:style w:type="character" w:styleId="45">
    <w:name w:val="Footer Char"/>
    <w:basedOn w:val="656"/>
    <w:link w:val="663"/>
    <w:uiPriority w:val="99"/>
  </w:style>
  <w:style w:type="paragraph" w:styleId="46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3"/>
    <w:uiPriority w:val="99"/>
  </w:style>
  <w:style w:type="table" w:styleId="49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6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6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pPr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Основной текст_"/>
    <w:basedOn w:val="656"/>
    <w:link w:val="661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660" w:customStyle="1">
    <w:name w:val="Основной текст1"/>
    <w:basedOn w:val="65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661" w:customStyle="1">
    <w:name w:val="Основной текст2"/>
    <w:basedOn w:val="655"/>
    <w:link w:val="659"/>
    <w:pPr>
      <w:ind w:hanging="580"/>
      <w:jc w:val="both"/>
      <w:spacing w:line="226" w:lineRule="exact"/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table" w:styleId="662">
    <w:name w:val="Table Grid"/>
    <w:basedOn w:val="657"/>
    <w:uiPriority w:val="59"/>
    <w:pPr>
      <w:spacing w:after="0" w:line="240" w:lineRule="auto"/>
      <w:widowControl w:val="off"/>
    </w:pPr>
    <w:rPr>
      <w:rFonts w:ascii="Courier New" w:hAnsi="Courier New" w:eastAsia="Courier New" w:cs="Courier New"/>
      <w:sz w:val="24"/>
      <w:szCs w:val="24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3">
    <w:name w:val="Footer"/>
    <w:basedOn w:val="655"/>
    <w:link w:val="6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4" w:customStyle="1">
    <w:name w:val="Нижний колонтитул Знак"/>
    <w:basedOn w:val="656"/>
    <w:link w:val="663"/>
    <w:uiPriority w:val="99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paragraph" w:styleId="665">
    <w:name w:val="Body Text Indent"/>
    <w:basedOn w:val="655"/>
    <w:link w:val="666"/>
    <w:pPr>
      <w:ind w:left="720"/>
      <w:widowControl/>
    </w:pPr>
    <w:rPr>
      <w:rFonts w:ascii="Times New Roman" w:hAnsi="Times New Roman" w:eastAsia="Times New Roman" w:cs="Times New Roman"/>
      <w:color w:val="auto"/>
      <w:sz w:val="28"/>
      <w:szCs w:val="20"/>
    </w:rPr>
  </w:style>
  <w:style w:type="character" w:styleId="666" w:customStyle="1">
    <w:name w:val="Основной текст с отступом Знак"/>
    <w:basedOn w:val="656"/>
    <w:link w:val="66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7">
    <w:name w:val="Balloon Text"/>
    <w:basedOn w:val="655"/>
    <w:link w:val="668"/>
    <w:uiPriority w:val="99"/>
    <w:semiHidden/>
    <w:unhideWhenUsed/>
    <w:rPr>
      <w:rFonts w:ascii="Tahoma" w:hAnsi="Tahoma" w:cs="Tahoma"/>
      <w:sz w:val="16"/>
      <w:szCs w:val="16"/>
    </w:rPr>
  </w:style>
  <w:style w:type="character" w:styleId="668" w:customStyle="1">
    <w:name w:val="Текст выноски Знак"/>
    <w:basedOn w:val="656"/>
    <w:link w:val="667"/>
    <w:uiPriority w:val="99"/>
    <w:semiHidden/>
    <w:rPr>
      <w:rFonts w:ascii="Tahoma" w:hAnsi="Tahoma" w:eastAsia="Courier New" w:cs="Tahoma"/>
      <w:color w:val="000000"/>
      <w:sz w:val="16"/>
      <w:szCs w:val="16"/>
      <w:lang w:eastAsia="ru-RU"/>
    </w:rPr>
  </w:style>
  <w:style w:type="paragraph" w:styleId="669">
    <w:name w:val="Body Text"/>
    <w:basedOn w:val="655"/>
    <w:link w:val="670"/>
    <w:uiPriority w:val="99"/>
    <w:semiHidden/>
    <w:unhideWhenUsed/>
    <w:pPr>
      <w:spacing w:after="120"/>
    </w:pPr>
  </w:style>
  <w:style w:type="character" w:styleId="670" w:customStyle="1">
    <w:name w:val="Основной текст Знак"/>
    <w:basedOn w:val="656"/>
    <w:link w:val="669"/>
    <w:uiPriority w:val="99"/>
    <w:semiHidden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paragraph" w:styleId="671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</w:rPr>
  </w:style>
  <w:style w:type="paragraph" w:styleId="672" w:customStyle="1">
    <w:name w:val="Основной текст4"/>
    <w:basedOn w:val="655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color w:val="auto"/>
      <w:sz w:val="25"/>
      <w:szCs w:val="25"/>
      <w:lang w:eastAsia="en-US"/>
    </w:rPr>
  </w:style>
  <w:style w:type="character" w:styleId="673">
    <w:name w:val="Hyperlink"/>
    <w:basedOn w:val="656"/>
    <w:uiPriority w:val="99"/>
    <w:unhideWhenUsed/>
    <w:rPr>
      <w:color w:val="0000ff" w:themeColor="hyperlink"/>
      <w:u w:val="single"/>
    </w:rPr>
  </w:style>
  <w:style w:type="paragraph" w:styleId="674">
    <w:name w:val="annotation text"/>
    <w:basedOn w:val="655"/>
    <w:link w:val="675"/>
    <w:uiPriority w:val="99"/>
    <w:semiHidden/>
    <w:unhideWhenUsed/>
    <w:rPr>
      <w:sz w:val="20"/>
      <w:szCs w:val="20"/>
    </w:rPr>
  </w:style>
  <w:style w:type="character" w:styleId="675" w:customStyle="1">
    <w:name w:val="Текст примечания Знак"/>
    <w:basedOn w:val="656"/>
    <w:link w:val="674"/>
    <w:uiPriority w:val="99"/>
    <w:semiHidden/>
    <w:rPr>
      <w:rFonts w:ascii="Courier New" w:hAnsi="Courier New" w:eastAsia="Courier New" w:cs="Courier New"/>
      <w:color w:val="000000"/>
      <w:sz w:val="20"/>
      <w:szCs w:val="20"/>
      <w:lang w:eastAsia="ru-RU"/>
    </w:rPr>
  </w:style>
  <w:style w:type="table" w:styleId="676" w:customStyle="1">
    <w:name w:val="Сетка таблицы1"/>
    <w:basedOn w:val="657"/>
    <w:next w:val="66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7">
    <w:name w:val="Header"/>
    <w:basedOn w:val="655"/>
    <w:link w:val="6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56"/>
    <w:link w:val="677"/>
    <w:uiPriority w:val="99"/>
    <w:rPr>
      <w:rFonts w:ascii="Courier New" w:hAnsi="Courier New" w:eastAsia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AC5-1B2D-4E8C-922A-6ACF591D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Управление Аспирантура</cp:lastModifiedBy>
  <cp:revision>10</cp:revision>
  <dcterms:created xsi:type="dcterms:W3CDTF">2020-08-27T07:57:00Z</dcterms:created>
  <dcterms:modified xsi:type="dcterms:W3CDTF">2023-11-15T15:30:32Z</dcterms:modified>
</cp:coreProperties>
</file>